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349" w14:textId="77777777" w:rsidR="00D6664B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Arial Narrow" w:hAnsi="Arial Narrow"/>
          <w:sz w:val="21"/>
          <w:szCs w:val="21"/>
        </w:rPr>
      </w:pPr>
      <w:r w:rsidRPr="00037C5A">
        <w:rPr>
          <w:rFonts w:ascii="Arial Narrow" w:hAnsi="Arial Narrow"/>
          <w:sz w:val="21"/>
          <w:szCs w:val="21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</w:t>
      </w:r>
      <w:r w:rsidR="00D6664B" w:rsidRPr="00037C5A">
        <w:rPr>
          <w:rFonts w:ascii="Arial Narrow" w:hAnsi="Arial Narrow"/>
          <w:sz w:val="21"/>
          <w:szCs w:val="21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701"/>
        <w:gridCol w:w="1723"/>
        <w:gridCol w:w="1679"/>
      </w:tblGrid>
      <w:tr w:rsidR="00137353" w14:paraId="46BCCB8C" w14:textId="77777777" w:rsidTr="00766823">
        <w:trPr>
          <w:trHeight w:val="367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DADF5D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E42A0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Riesgos</w:t>
            </w:r>
          </w:p>
        </w:tc>
        <w:tc>
          <w:tcPr>
            <w:tcW w:w="8647" w:type="dxa"/>
            <w:gridSpan w:val="5"/>
            <w:shd w:val="clear" w:color="auto" w:fill="A6A6A6" w:themeFill="background1" w:themeFillShade="A6"/>
            <w:vAlign w:val="center"/>
          </w:tcPr>
          <w:p w14:paraId="35BDA056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Estrategia</w:t>
            </w:r>
            <w:r w:rsidR="00F57B50">
              <w:rPr>
                <w:b/>
                <w:color w:val="FFFFFF" w:themeColor="background1"/>
                <w:sz w:val="18"/>
                <w:szCs w:val="18"/>
              </w:rPr>
              <w:t>s establecidas</w:t>
            </w:r>
          </w:p>
        </w:tc>
      </w:tr>
      <w:tr w:rsidR="00137353" w14:paraId="291D04F6" w14:textId="77777777" w:rsidTr="00766823">
        <w:trPr>
          <w:trHeight w:val="239"/>
          <w:jc w:val="center"/>
        </w:trPr>
        <w:tc>
          <w:tcPr>
            <w:tcW w:w="992" w:type="dxa"/>
            <w:vMerge w:val="restart"/>
            <w:vAlign w:val="center"/>
          </w:tcPr>
          <w:p w14:paraId="53D99E90" w14:textId="536F7E7A" w:rsidR="00037C5A" w:rsidRPr="00BA7D2D" w:rsidRDefault="00E6067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4D8F2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23A58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93637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85CE569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ED9EB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Compartir</w:t>
            </w:r>
          </w:p>
        </w:tc>
      </w:tr>
      <w:tr w:rsidR="00137353" w14:paraId="5EC32A25" w14:textId="77777777" w:rsidTr="00766823">
        <w:trPr>
          <w:trHeight w:val="282"/>
          <w:jc w:val="center"/>
        </w:trPr>
        <w:tc>
          <w:tcPr>
            <w:tcW w:w="992" w:type="dxa"/>
            <w:vMerge/>
          </w:tcPr>
          <w:p w14:paraId="595413E7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8C6A26" w14:textId="1467EA9D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6</w:t>
            </w:r>
          </w:p>
        </w:tc>
        <w:tc>
          <w:tcPr>
            <w:tcW w:w="1843" w:type="dxa"/>
            <w:vAlign w:val="center"/>
          </w:tcPr>
          <w:p w14:paraId="6AD0F67D" w14:textId="71A0481F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3</w:t>
            </w:r>
          </w:p>
        </w:tc>
        <w:tc>
          <w:tcPr>
            <w:tcW w:w="1701" w:type="dxa"/>
            <w:vAlign w:val="center"/>
          </w:tcPr>
          <w:p w14:paraId="6D8D0C93" w14:textId="2CFBCB38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57284449" w14:textId="1797AD1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679" w:type="dxa"/>
            <w:vAlign w:val="center"/>
          </w:tcPr>
          <w:p w14:paraId="3ED0791D" w14:textId="30D885D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</w:tr>
      <w:tr w:rsidR="00137353" w14:paraId="51749128" w14:textId="77777777" w:rsidTr="00766823">
        <w:trPr>
          <w:trHeight w:val="392"/>
          <w:jc w:val="center"/>
        </w:trPr>
        <w:tc>
          <w:tcPr>
            <w:tcW w:w="992" w:type="dxa"/>
            <w:vMerge/>
          </w:tcPr>
          <w:p w14:paraId="0034BAC4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01EDA535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E797FB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</w:t>
            </w:r>
          </w:p>
          <w:p w14:paraId="13BE43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21089D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</w:t>
            </w:r>
          </w:p>
          <w:p w14:paraId="5F5427C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A877425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III</w:t>
            </w:r>
          </w:p>
          <w:p w14:paraId="797F860E" w14:textId="77777777" w:rsidR="00037C5A" w:rsidRPr="00BA7D2D" w:rsidRDefault="00037C5A" w:rsidP="00137353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2C46C664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IV</w:t>
            </w:r>
          </w:p>
          <w:p w14:paraId="3235B52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De Seguimiento</w:t>
            </w:r>
          </w:p>
        </w:tc>
      </w:tr>
      <w:tr w:rsidR="00137353" w14:paraId="420B341B" w14:textId="77777777" w:rsidTr="00766823">
        <w:trPr>
          <w:trHeight w:val="269"/>
          <w:jc w:val="center"/>
        </w:trPr>
        <w:tc>
          <w:tcPr>
            <w:tcW w:w="992" w:type="dxa"/>
            <w:vMerge/>
          </w:tcPr>
          <w:p w14:paraId="7FF19780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24DFFE2" w14:textId="77777777" w:rsidR="00037C5A" w:rsidRPr="00BA7D2D" w:rsidRDefault="00037C5A" w:rsidP="007C521D">
            <w:pPr>
              <w:ind w:left="11" w:right="3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5E8101" w14:textId="52AFE3D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01" w:type="dxa"/>
            <w:vAlign w:val="center"/>
          </w:tcPr>
          <w:p w14:paraId="0587DF9B" w14:textId="40C53175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4899E16D" w14:textId="68073AB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  <w:tc>
          <w:tcPr>
            <w:tcW w:w="1679" w:type="dxa"/>
            <w:vAlign w:val="center"/>
          </w:tcPr>
          <w:p w14:paraId="5269DB34" w14:textId="786500F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</w:tr>
    </w:tbl>
    <w:p w14:paraId="42DABDF5" w14:textId="77777777" w:rsidR="00D6664B" w:rsidRDefault="00D6664B" w:rsidP="005918DA">
      <w:pPr>
        <w:spacing w:after="240"/>
        <w:ind w:left="425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D6664B" w:rsidRPr="001917C9" w14:paraId="0B4DFC37" w14:textId="77777777" w:rsidTr="001917C9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64B26" w14:textId="77777777"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6DE744" w14:textId="77777777" w:rsidR="00D6664B" w:rsidRPr="001917C9" w:rsidRDefault="00D6664B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 xml:space="preserve">Situación de las Acciones de </w:t>
            </w:r>
            <w:r w:rsidR="007C521D">
              <w:rPr>
                <w:rFonts w:ascii="Arial Narrow" w:hAnsi="Arial Narrow"/>
                <w:b/>
                <w:sz w:val="19"/>
                <w:szCs w:val="19"/>
              </w:rPr>
              <w:t>Control</w:t>
            </w:r>
          </w:p>
        </w:tc>
      </w:tr>
      <w:tr w:rsidR="001917C9" w:rsidRPr="001917C9" w14:paraId="78C76324" w14:textId="77777777" w:rsidTr="0018675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17BA8" w14:textId="77777777" w:rsidR="00B16A31" w:rsidRPr="001917C9" w:rsidRDefault="00B16A31" w:rsidP="007A5ED8">
            <w:pPr>
              <w:ind w:right="37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481C649" w14:textId="69AAD21E" w:rsidR="00B16A31" w:rsidRPr="001917C9" w:rsidRDefault="00966715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proofErr w:type="gramStart"/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Total</w:t>
            </w:r>
            <w:proofErr w:type="gramEnd"/>
            <w:r w:rsidR="00B16A31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de Acciones de </w:t>
            </w:r>
            <w:r w:rsidR="007C521D">
              <w:rPr>
                <w:rFonts w:ascii="Arial Narrow" w:hAnsi="Arial Narrow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1A0815E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58F9206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% de Cumplimiento</w:t>
            </w:r>
            <w:r w:rsidR="00470F86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470F86" w:rsidRPr="001917C9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FE19D5C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ECC10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Pendientes (Sin Avance)</w:t>
            </w:r>
          </w:p>
        </w:tc>
      </w:tr>
      <w:tr w:rsidR="001917C9" w:rsidRPr="00596484" w14:paraId="3CFF4D3B" w14:textId="77777777" w:rsidTr="0018675E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14335A69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1202B37" w14:textId="4958142C" w:rsidR="00B16A31" w:rsidRPr="000C7D41" w:rsidRDefault="008B2106" w:rsidP="007A5ED8">
            <w:pPr>
              <w:ind w:right="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96671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1A2691E2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14:paraId="54B747B8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164735AA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4E269BD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470F86" w:rsidRPr="00596484" w14:paraId="201D9662" w14:textId="77777777" w:rsidTr="0018675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2948C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7A49769A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7F78A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C0643E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262C9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247EB3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D7342B" w:rsidRPr="00596484" w14:paraId="445905C1" w14:textId="77777777" w:rsidTr="0018675E">
        <w:trPr>
          <w:trHeight w:val="244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A1F0319" w14:textId="77777777"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2C6933A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14:paraId="170AD3F1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14:paraId="15717D0D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14:paraId="3DD7248E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1A22458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1917C9" w:rsidRPr="00596484" w14:paraId="18AF12A6" w14:textId="77777777" w:rsidTr="0018675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EA963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4CF50BF6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8C3C4" w14:textId="5CC03364" w:rsidR="00B16A31" w:rsidRPr="000C7D41" w:rsidRDefault="008B2106" w:rsidP="008B2106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</w:t>
            </w:r>
            <w:r w:rsidR="0096671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DB2984" w14:textId="3DD30ED8" w:rsidR="00B16A31" w:rsidRPr="000C7D41" w:rsidRDefault="008B2106" w:rsidP="007522F3">
            <w:pPr>
              <w:ind w:right="318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86.</w:t>
            </w:r>
            <w:r w:rsidR="00966715"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49BC6" w14:textId="10E58D5D" w:rsidR="00B16A31" w:rsidRPr="000C7D41" w:rsidRDefault="008B2106" w:rsidP="008B2106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68C735" w14:textId="5E2FB1DF" w:rsidR="00B16A31" w:rsidRPr="000C7D41" w:rsidRDefault="008B2106" w:rsidP="008B2106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1</w:t>
            </w:r>
          </w:p>
        </w:tc>
      </w:tr>
      <w:tr w:rsidR="00D7342B" w:rsidRPr="00596484" w14:paraId="4F4D52E9" w14:textId="77777777" w:rsidTr="0018675E">
        <w:trPr>
          <w:trHeight w:val="182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F6B2E58" w14:textId="77777777"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DD96C0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14:paraId="58ED00BE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14:paraId="17424D52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14:paraId="659D0386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39D297C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E23B90" w:rsidRPr="00596484" w14:paraId="34DF5407" w14:textId="77777777" w:rsidTr="0018675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29ED1" w14:textId="77777777" w:rsidR="00E23B90" w:rsidRPr="008151DB" w:rsidRDefault="00E23B90" w:rsidP="00E23B90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1C43A087" w14:textId="77777777" w:rsidR="00E23B90" w:rsidRPr="000C7D41" w:rsidRDefault="00E23B90" w:rsidP="00E23B90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22465" w14:textId="0E42930E" w:rsidR="00E23B90" w:rsidRPr="000C7D41" w:rsidRDefault="00E23B90" w:rsidP="00E23B90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B3039" w14:textId="3B727B69" w:rsidR="00E23B90" w:rsidRPr="000C7D41" w:rsidRDefault="00E23B90" w:rsidP="00E23B90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5EC60" w14:textId="31F5376C" w:rsidR="00E23B90" w:rsidRPr="000C7D41" w:rsidRDefault="00E23B90" w:rsidP="00E23B90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69E767" w14:textId="275C00A1" w:rsidR="00E23B90" w:rsidRPr="000C7D41" w:rsidRDefault="00E23B90" w:rsidP="00E23B90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E23B90" w:rsidRPr="00596484" w14:paraId="1EAF8AFB" w14:textId="77777777" w:rsidTr="0018675E">
        <w:trPr>
          <w:trHeight w:val="232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6A762E3" w14:textId="77777777" w:rsidR="00E23B90" w:rsidRPr="00B16A31" w:rsidRDefault="00E23B90" w:rsidP="00E23B90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Cuarto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E899036" w14:textId="77777777" w:rsidR="00E23B90" w:rsidRPr="000C7D41" w:rsidRDefault="00E23B90" w:rsidP="00E23B90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E6E10E7" w14:textId="77777777" w:rsidR="00E23B90" w:rsidRPr="000C7D41" w:rsidRDefault="00E23B90" w:rsidP="00E23B90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F8B4AFA" w14:textId="77777777" w:rsidR="00E23B90" w:rsidRPr="000C7D41" w:rsidRDefault="00E23B90" w:rsidP="00E23B90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DC84996" w14:textId="77777777" w:rsidR="00E23B90" w:rsidRPr="000C7D41" w:rsidRDefault="00E23B90" w:rsidP="00E23B90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7BBE792" w14:textId="77777777" w:rsidR="00E23B90" w:rsidRPr="000C7D41" w:rsidRDefault="00E23B90" w:rsidP="00E23B90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4F7388D6" w14:textId="77777777" w:rsidR="00470F86" w:rsidRDefault="00470F86" w:rsidP="00470F86">
      <w:pPr>
        <w:pStyle w:val="Prrafodelista"/>
        <w:ind w:left="709" w:right="37"/>
        <w:rPr>
          <w:rFonts w:ascii="Arial Narrow" w:hAnsi="Arial Narrow"/>
          <w:b/>
          <w:color w:val="000000" w:themeColor="text1"/>
          <w:sz w:val="14"/>
          <w:szCs w:val="16"/>
        </w:rPr>
      </w:pPr>
      <w:r w:rsidRPr="00470F86">
        <w:rPr>
          <w:rFonts w:ascii="Arial Narrow" w:hAnsi="Arial Narrow"/>
          <w:b/>
          <w:color w:val="FF0000"/>
          <w:sz w:val="14"/>
          <w:szCs w:val="16"/>
        </w:rPr>
        <w:t>*</w:t>
      </w:r>
      <w:r w:rsidRPr="00470F86">
        <w:rPr>
          <w:rFonts w:ascii="Arial Narrow" w:hAnsi="Arial Narrow"/>
          <w:b/>
          <w:color w:val="FFFFFF" w:themeColor="background1"/>
          <w:sz w:val="14"/>
          <w:szCs w:val="16"/>
        </w:rPr>
        <w:t>v</w:t>
      </w:r>
      <w:r>
        <w:rPr>
          <w:rFonts w:ascii="Arial Narrow" w:hAnsi="Arial Narrow"/>
          <w:b/>
          <w:color w:val="FFFFFF" w:themeColor="background1"/>
          <w:sz w:val="14"/>
          <w:szCs w:val="16"/>
        </w:rPr>
        <w:t xml:space="preserve"> 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concluidas entre 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 comprometidas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por cien (con un decimal)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14:paraId="1E5568CA" w14:textId="77777777" w:rsidR="009053FF" w:rsidRDefault="009053FF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4DA1C833" w14:textId="77777777" w:rsidR="002C0B00" w:rsidRPr="00737078" w:rsidRDefault="002C0B00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528A3CEB" w14:textId="77777777" w:rsidR="009053FF" w:rsidRPr="00D52FAE" w:rsidRDefault="009053FF" w:rsidP="0018675E">
      <w:pPr>
        <w:spacing w:after="240"/>
        <w:ind w:left="426"/>
        <w:rPr>
          <w:rFonts w:ascii="Arial Narrow" w:hAnsi="Arial Narrow"/>
          <w:sz w:val="20"/>
          <w:u w:val="single"/>
        </w:rPr>
      </w:pPr>
      <w:r w:rsidRPr="00D52FAE">
        <w:rPr>
          <w:rFonts w:ascii="Arial Narrow" w:hAnsi="Arial Narrow"/>
          <w:b/>
          <w:color w:val="000000" w:themeColor="text1"/>
          <w:u w:val="single"/>
        </w:rPr>
        <w:t xml:space="preserve">Acciones de </w:t>
      </w:r>
      <w:r w:rsidR="007C521D">
        <w:rPr>
          <w:rFonts w:ascii="Arial Narrow" w:hAnsi="Arial Narrow"/>
          <w:b/>
          <w:color w:val="000000" w:themeColor="text1"/>
          <w:u w:val="single"/>
        </w:rPr>
        <w:t>Control</w:t>
      </w:r>
      <w:r w:rsidRPr="00D52FAE">
        <w:rPr>
          <w:rFonts w:ascii="Arial Narrow" w:hAnsi="Arial Narrow"/>
          <w:b/>
          <w:color w:val="000000" w:themeColor="text1"/>
          <w:u w:val="single"/>
        </w:rPr>
        <w:t xml:space="preserve">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3265C5" w14:paraId="08B915EC" w14:textId="77777777" w:rsidTr="00A4157C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4FEEE5" w14:textId="77777777" w:rsidR="009053FF" w:rsidRPr="009053FF" w:rsidRDefault="009053FF" w:rsidP="007C521D">
            <w:pPr>
              <w:tabs>
                <w:tab w:val="left" w:pos="1049"/>
              </w:tabs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18C93C5" w14:textId="77777777"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0DB878" w14:textId="77777777" w:rsidR="009053FF" w:rsidRPr="009053FF" w:rsidRDefault="009053FF" w:rsidP="007C521D">
            <w:pPr>
              <w:pStyle w:val="Prrafodelista"/>
              <w:ind w:left="0"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 entre 51</w:t>
            </w:r>
            <w:bookmarkStart w:id="0" w:name="_GoBack"/>
            <w:bookmarkEnd w:id="0"/>
            <w:r w:rsidRPr="009053FF">
              <w:rPr>
                <w:rFonts w:ascii="Arial Narrow" w:hAnsi="Arial Narrow"/>
                <w:b/>
                <w:sz w:val="20"/>
                <w:szCs w:val="20"/>
              </w:rPr>
              <w:t>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E6AAD82" w14:textId="77777777"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8F2CDE" w14:textId="77777777" w:rsidR="009053FF" w:rsidRPr="009053FF" w:rsidRDefault="009053FF" w:rsidP="007C521D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"/>
              </w:rPr>
            </w:pPr>
            <w:r w:rsidRPr="009053FF">
              <w:rPr>
                <w:rFonts w:ascii="Arial Narrow" w:hAnsi="Arial Narrow"/>
                <w:b/>
                <w:sz w:val="20"/>
                <w:szCs w:val="18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18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18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 entre 81% y 99%</w:t>
            </w:r>
          </w:p>
        </w:tc>
      </w:tr>
      <w:tr w:rsidR="009053FF" w:rsidRPr="00B63AC2" w14:paraId="766B651A" w14:textId="77777777" w:rsidTr="00A4157C">
        <w:trPr>
          <w:trHeight w:val="362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F8AA6F9" w14:textId="085C6259" w:rsidR="009053FF" w:rsidRPr="00B63AC2" w:rsidRDefault="008D4D27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3466B0" w14:textId="77777777"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6544BAD" w14:textId="7DA0F1B9" w:rsidR="009053FF" w:rsidRPr="00B63AC2" w:rsidRDefault="008B2106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E7E83D" w14:textId="77777777"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DC5556F" w14:textId="49B2D04D" w:rsidR="00E23B90" w:rsidRPr="00E23B90" w:rsidRDefault="00127F1D" w:rsidP="00E23B90">
            <w:pPr>
              <w:ind w:right="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</w:tbl>
    <w:p w14:paraId="11129839" w14:textId="77777777" w:rsidR="00737078" w:rsidRPr="003D4F21" w:rsidRDefault="00737078" w:rsidP="003D4F21">
      <w:pPr>
        <w:ind w:right="37"/>
        <w:rPr>
          <w:rFonts w:ascii="Arial Narrow" w:hAnsi="Arial Narrow"/>
          <w:b/>
          <w:color w:val="000000" w:themeColor="text1"/>
        </w:rPr>
      </w:pPr>
    </w:p>
    <w:p w14:paraId="11668D44" w14:textId="77777777" w:rsidR="00265B0D" w:rsidRDefault="00265B0D">
      <w:r>
        <w:br w:type="page"/>
      </w:r>
    </w:p>
    <w:p w14:paraId="264612EA" w14:textId="418C733A" w:rsidR="00A4157C" w:rsidRDefault="00A4157C" w:rsidP="00161CAC">
      <w:pPr>
        <w:ind w:right="-35"/>
        <w:jc w:val="both"/>
      </w:pP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708"/>
        <w:gridCol w:w="6778"/>
        <w:gridCol w:w="1229"/>
      </w:tblGrid>
      <w:tr w:rsidR="00A4157C" w:rsidRPr="00963535" w14:paraId="0E3CF269" w14:textId="77777777" w:rsidTr="00A4157C">
        <w:trPr>
          <w:trHeight w:val="1050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9507119" w14:textId="77777777" w:rsidR="00A4157C" w:rsidRPr="00963535" w:rsidRDefault="00A4157C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0FC0F8" w14:textId="77777777" w:rsidR="00A4157C" w:rsidRPr="00963535" w:rsidRDefault="00A4157C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 A.C.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D6AD1B8" w14:textId="77777777" w:rsidR="00A4157C" w:rsidRPr="00963535" w:rsidRDefault="00A4157C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 la Acción de Control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14:paraId="15FC61B4" w14:textId="77777777" w:rsidR="00A4157C" w:rsidRPr="00963535" w:rsidRDefault="00A4157C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Avance Acumulado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al Trimestre</w:t>
            </w:r>
          </w:p>
        </w:tc>
      </w:tr>
      <w:tr w:rsidR="00A4157C" w:rsidRPr="00963535" w14:paraId="6A4E39B6" w14:textId="77777777" w:rsidTr="00A4157C">
        <w:trPr>
          <w:trHeight w:val="330"/>
        </w:trPr>
        <w:tc>
          <w:tcPr>
            <w:tcW w:w="9541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2C6C94" w14:textId="0E1B3266" w:rsidR="00A4157C" w:rsidRPr="00963535" w:rsidRDefault="000C7D41" w:rsidP="00A4157C">
            <w:pPr>
              <w:spacing w:after="0" w:line="240" w:lineRule="auto"/>
              <w:ind w:firstLineChars="100" w:firstLine="201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</w:t>
            </w:r>
            <w:r w:rsidR="004C16B2"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_01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</w:t>
            </w:r>
            <w:r w:rsidR="00A4157C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- </w:t>
            </w:r>
            <w:r w:rsidR="00194590"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 EDUCATIVOS OTORGADOS DE BAJA CALIDAD</w:t>
            </w:r>
          </w:p>
        </w:tc>
      </w:tr>
      <w:tr w:rsidR="00A4157C" w:rsidRPr="00963535" w14:paraId="3B15DFDA" w14:textId="77777777" w:rsidTr="00A4157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40D" w14:textId="77777777" w:rsidR="00A4157C" w:rsidRPr="00963535" w:rsidRDefault="00A4157C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7702" w14:textId="7BFCFBB2" w:rsidR="00A4157C" w:rsidRPr="00963535" w:rsidRDefault="004C16B2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ADC" w14:textId="11203F45" w:rsidR="00A4157C" w:rsidRPr="00963535" w:rsidRDefault="0019459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Programar las formaciones de capacitación de acuerdo a las necesidades, disponibilidad y atención educativa de los asesores, considerando programar las formaciones en sedes cercanas a su comunidad, sensibilizar a los delegados municipales y técnicos docentes de la importancia de realizar la vinculación de educandos de acuerdo al nivel educativo y formación recibida de los asesores.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DD089" w14:textId="3BF09D14" w:rsidR="00A4157C" w:rsidRPr="00963535" w:rsidRDefault="002731C1" w:rsidP="00A4157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4590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194590" w:rsidRPr="00963535" w14:paraId="7B774199" w14:textId="77777777" w:rsidTr="00B351B4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DFE" w14:textId="77777777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6446" w14:textId="3D4105BA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A9398" w14:textId="3DA3F50B" w:rsidR="00194590" w:rsidRPr="00963535" w:rsidRDefault="0019459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con la relación emitida de SASA de los próximos educandos a alfabetizarse/UCN de nivel inicial y proceder al acompañamiento previo a su verificación.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CF09B" w14:textId="06F30281" w:rsidR="00194590" w:rsidRPr="00963535" w:rsidRDefault="0019459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94590" w:rsidRPr="00963535" w14:paraId="1B111171" w14:textId="77777777" w:rsidTr="00B351B4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7BE0" w14:textId="77777777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0C6D" w14:textId="58410E22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E9972" w14:textId="55FC7F7C" w:rsidR="00194590" w:rsidRPr="00963535" w:rsidRDefault="0019459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participación de las figuras de formación en los cursos inducción, inicial, continua y las certificaciones del CONOCER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1A12D" w14:textId="40E80AAE" w:rsidR="00194590" w:rsidRPr="00963535" w:rsidRDefault="002731C1" w:rsidP="00273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194590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94590" w:rsidRPr="00963535" w14:paraId="58A92B02" w14:textId="77777777" w:rsidTr="00B351B4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EA93" w14:textId="77777777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F107" w14:textId="6256214A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87B79" w14:textId="52B3A5BE" w:rsidR="00194590" w:rsidRPr="00963535" w:rsidRDefault="0019459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en forma aleatoria el programa de trabajo en las CZ y solicitar informe final de las formaciones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A4F" w14:textId="204D3DF3" w:rsidR="00194590" w:rsidRPr="00963535" w:rsidRDefault="002731C1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4590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94590" w:rsidRPr="00963535" w14:paraId="330E51F2" w14:textId="77777777" w:rsidTr="00A4157C">
        <w:trPr>
          <w:trHeight w:val="330"/>
        </w:trPr>
        <w:tc>
          <w:tcPr>
            <w:tcW w:w="9541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3BB151" w14:textId="473636AD" w:rsidR="00194590" w:rsidRPr="00963535" w:rsidRDefault="00194590" w:rsidP="00194590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2019_02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 DE INSCRIPCIÓN, ACREDITACIÓN Y CERTIFICACIÓN OTORGADOS DE FORMA DEFICIENTE</w:t>
            </w:r>
          </w:p>
        </w:tc>
      </w:tr>
      <w:tr w:rsidR="00194590" w:rsidRPr="00963535" w14:paraId="57FA042F" w14:textId="77777777" w:rsidTr="002731C1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8715" w14:textId="2B8AF1CE" w:rsidR="00194590" w:rsidRPr="00963535" w:rsidRDefault="002731C1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61F" w14:textId="77777777" w:rsidR="00194590" w:rsidRPr="00963535" w:rsidRDefault="0019459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B6C4" w14:textId="1D9885A5" w:rsidR="00194590" w:rsidRPr="00963535" w:rsidRDefault="002731C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que no deberá incorporar a un beneficiario a los sistemas de control escolar si no cuenta con su documentación completa.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05F6F" w14:textId="60E104DD" w:rsidR="00194590" w:rsidRPr="00963535" w:rsidRDefault="002731C1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731C1" w:rsidRPr="00963535" w14:paraId="727F899E" w14:textId="77777777" w:rsidTr="002731C1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5744" w14:textId="4D7EEF72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9D87" w14:textId="77777777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F0503" w14:textId="5C426D31" w:rsidR="002731C1" w:rsidRPr="00963535" w:rsidRDefault="002731C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Balance con el personal del Departamento y de las Delegaciones Municipales para instruir la importancia de cumplir con los criterios de Acreditación.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FE3B6" w14:textId="32349374" w:rsidR="002731C1" w:rsidRPr="00963535" w:rsidRDefault="002731C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731C1" w:rsidRPr="00963535" w14:paraId="7EF0B2F5" w14:textId="77777777" w:rsidTr="002731C1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74B3" w14:textId="19B4C720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CC13" w14:textId="77777777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DAE9A" w14:textId="7B63C52B" w:rsidR="002731C1" w:rsidRPr="00963535" w:rsidRDefault="002731C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Revisar al 100% la programación de las sedes de aplicación de exámenes y notificar a las Delegaciones Municipales de las observaciones detectadas.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4FF82E" w14:textId="63224226" w:rsidR="002731C1" w:rsidRPr="00963535" w:rsidRDefault="002731C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75%</w:t>
            </w:r>
          </w:p>
        </w:tc>
      </w:tr>
      <w:tr w:rsidR="002731C1" w:rsidRPr="00963535" w14:paraId="7A38DC56" w14:textId="77777777" w:rsidTr="00D64A7A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3AF1" w14:textId="4747E0E1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FE3A" w14:textId="53808419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CC645" w14:textId="27932CC8" w:rsidR="002731C1" w:rsidRPr="00963535" w:rsidRDefault="002731C1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Brindar capacitación y/o actualización a los Responsables de Acreditación y figuras involucradas en las normas de control escolar.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AF1EAF" w14:textId="34509E13" w:rsidR="002731C1" w:rsidRPr="00963535" w:rsidRDefault="002731C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0%</w:t>
            </w:r>
          </w:p>
        </w:tc>
      </w:tr>
      <w:tr w:rsidR="002731C1" w:rsidRPr="00963535" w14:paraId="4C738F41" w14:textId="77777777" w:rsidTr="00D64A7A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56BD" w14:textId="0C6B2C0E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46AE" w14:textId="563113BD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27FFD" w14:textId="5429C235" w:rsidR="002731C1" w:rsidRPr="00963535" w:rsidRDefault="002731C1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Validar todos los expedientes de los usuarios que concluyen nivel, cotejar firmas en los formatos de registro del beneficiario y hoja de respuesta del examen.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4F3A3" w14:textId="13CD0976" w:rsidR="002731C1" w:rsidRPr="00963535" w:rsidRDefault="002731C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75%</w:t>
            </w:r>
          </w:p>
        </w:tc>
      </w:tr>
      <w:tr w:rsidR="002731C1" w:rsidRPr="00963535" w14:paraId="06DFA098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0E4E52" w14:textId="7F52EAED" w:rsidR="002731C1" w:rsidRPr="00963535" w:rsidRDefault="002731C1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2019_03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.- </w:t>
            </w:r>
            <w:r w:rsidR="005168B1"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OFRECER SERVICIOS DE EDUCACIÓN BÁSICA Y DE CAPACITACIÓN PARA EL TRABAJO EN LAS PLAZAS COMUNITARIAS DE FORMA DEFICIENTE</w:t>
            </w:r>
          </w:p>
        </w:tc>
      </w:tr>
      <w:tr w:rsidR="002731C1" w:rsidRPr="00963535" w14:paraId="7A5889C5" w14:textId="77777777" w:rsidTr="00A4157C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A3FC" w14:textId="69AFBFE5" w:rsidR="002731C1" w:rsidRPr="00963535" w:rsidRDefault="005168B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E04D" w14:textId="77777777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B712" w14:textId="510CA916" w:rsidR="002731C1" w:rsidRPr="00963535" w:rsidRDefault="005168B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formación y/o capacitación integral de las figuras y visita periódica a las Plazas Comunitarias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82A38" w14:textId="0D5F61D9" w:rsidR="002731C1" w:rsidRPr="00963535" w:rsidRDefault="005168B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731C1" w:rsidRPr="00963535" w14:paraId="681EF8AF" w14:textId="77777777" w:rsidTr="00A4157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4C32" w14:textId="542E869C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  <w:r w:rsidR="005168B1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D6EE" w14:textId="77777777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4E36" w14:textId="5FD69862" w:rsidR="002731C1" w:rsidRPr="00963535" w:rsidRDefault="005168B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Reestablecer un programa de trabajo coordinado con la unidad de Informática y dar seguimiento oportuno a las incidencias reportadas por las Plazas Comunitarias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ó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 xml:space="preserve"> Coordinaciones de 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0613B" w14:textId="51C5A78B" w:rsidR="002731C1" w:rsidRPr="00963535" w:rsidRDefault="005168B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731C1" w:rsidRPr="00963535" w14:paraId="021727C1" w14:textId="77777777" w:rsidTr="00A4157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5321" w14:textId="44912D4B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  <w:r w:rsidR="005168B1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CEA2" w14:textId="77777777" w:rsidR="002731C1" w:rsidRPr="00963535" w:rsidRDefault="002731C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1F26" w14:textId="55ABE33F" w:rsidR="002731C1" w:rsidRPr="00963535" w:rsidRDefault="005168B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Gestionar ante las autoridades los espacios, infraestructura y apoyos para las Plazas Comunitarias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7F037" w14:textId="0EB6C0CB" w:rsidR="002731C1" w:rsidRPr="00963535" w:rsidRDefault="005168B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0%</w:t>
            </w:r>
          </w:p>
        </w:tc>
      </w:tr>
      <w:tr w:rsidR="005168B1" w:rsidRPr="00963535" w14:paraId="14765845" w14:textId="77777777" w:rsidTr="00A4157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0E5AE" w14:textId="1FA8F40F" w:rsidR="005168B1" w:rsidRPr="00963535" w:rsidRDefault="005168B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FA15" w14:textId="26915E37" w:rsidR="005168B1" w:rsidRPr="00963535" w:rsidRDefault="005168B1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E878" w14:textId="30C96E1A" w:rsidR="005168B1" w:rsidRPr="00963535" w:rsidRDefault="005168B1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oportuno a los reportes registrados en el SINAPLAC y realizar las gestiones necesarias ante el INEA o ante el IEEA para reactivar la conectividad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032B6" w14:textId="5CC6ED08" w:rsidR="005168B1" w:rsidRPr="00963535" w:rsidRDefault="005168B1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100%</w:t>
            </w:r>
          </w:p>
        </w:tc>
      </w:tr>
      <w:tr w:rsidR="002731C1" w:rsidRPr="00963535" w14:paraId="3C1D0A39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BBF7C4" w14:textId="032B01B0" w:rsidR="002731C1" w:rsidRPr="00963535" w:rsidRDefault="002731C1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2019_04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.- </w:t>
            </w:r>
            <w:r w:rsidR="00BC1968"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PROCESOS DE INSCRIPCIÓN, ACREDITACIÓN Y CERTIFICACIÓN NO VERIFICADOS</w:t>
            </w:r>
          </w:p>
        </w:tc>
      </w:tr>
      <w:tr w:rsidR="00BC1968" w:rsidRPr="00963535" w14:paraId="2EBA2ADD" w14:textId="77777777" w:rsidTr="00007D9D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F576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9805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6B733" w14:textId="77777777" w:rsidR="00BC1968" w:rsidRPr="00963535" w:rsidRDefault="00BC1968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Incrementar las verificaciones de exámenes en línea en las sedes de aplicación</w:t>
            </w:r>
          </w:p>
          <w:p w14:paraId="1C7209A8" w14:textId="5CFCB989" w:rsidR="00BC1968" w:rsidRPr="00963535" w:rsidRDefault="00BC1968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trabajo semanal con los verificadores</w:t>
            </w:r>
          </w:p>
          <w:p w14:paraId="5DE93983" w14:textId="77777777" w:rsidR="00BC1968" w:rsidRPr="00963535" w:rsidRDefault="00BC1968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Aplicar encuestas de servicios a los educandos</w:t>
            </w:r>
          </w:p>
          <w:p w14:paraId="08FABDBA" w14:textId="57503B5E" w:rsidR="00BC1968" w:rsidRPr="00963535" w:rsidRDefault="00BC196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la información de los patrones de no aleatoriedad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D4E1B" w14:textId="057BFD93" w:rsidR="00BC1968" w:rsidRPr="00963535" w:rsidRDefault="00BC1968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C1968" w:rsidRPr="00963535" w14:paraId="3AEC8AA4" w14:textId="77777777" w:rsidTr="00007D9D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3DF2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48B4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265F1" w14:textId="77777777" w:rsidR="00966715" w:rsidRPr="00963535" w:rsidRDefault="00966715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D75E86C" w14:textId="64ED3761" w:rsidR="00BC1968" w:rsidRPr="00963535" w:rsidRDefault="00BC196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puntual seguimiento al plan de acción trimestral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25891" w14:textId="09B9A20F" w:rsidR="00BC1968" w:rsidRPr="00963535" w:rsidRDefault="00BC1968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C1968" w:rsidRPr="00963535" w14:paraId="154672B3" w14:textId="77777777" w:rsidTr="00007D9D">
        <w:trPr>
          <w:trHeight w:val="103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98DC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FD3F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29D2D" w14:textId="77777777" w:rsidR="00966715" w:rsidRPr="00963535" w:rsidRDefault="00966715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8EB451B" w14:textId="6EBDC95B" w:rsidR="00BC1968" w:rsidRPr="00963535" w:rsidRDefault="00BC196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Capacitar y/o actualizar a los responsables de acreditación y apoyos técnicos sobre los factores críticos de calidad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71A3C" w14:textId="2A686B7A" w:rsidR="00BC1968" w:rsidRPr="00963535" w:rsidRDefault="00BC1968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C1968" w:rsidRPr="00963535" w14:paraId="1ED3E502" w14:textId="77777777" w:rsidTr="00966715">
        <w:trPr>
          <w:trHeight w:val="8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FD17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0D0" w14:textId="77777777" w:rsidR="00BC1968" w:rsidRPr="00963535" w:rsidRDefault="00BC1968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2915C" w14:textId="77777777" w:rsidR="00966715" w:rsidRPr="00963535" w:rsidRDefault="00966715" w:rsidP="0096353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C2EE61" w14:textId="48867E92" w:rsidR="00BC1968" w:rsidRPr="00963535" w:rsidRDefault="00BC1968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Verificar oportunamente en el SICIAC la información enviada por las coordinaciones de zona e informar a las coordinaciones de zonas de los errores detectados.</w:t>
            </w:r>
          </w:p>
          <w:p w14:paraId="7D0F1CC9" w14:textId="75BDF43C" w:rsidR="00BC1968" w:rsidRPr="00963535" w:rsidRDefault="00BC196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D0582F" w14:textId="3BC1714F" w:rsidR="00BC1968" w:rsidRPr="00963535" w:rsidRDefault="00BC1968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C1968" w:rsidRPr="00963535" w14:paraId="5E906ECA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0540B6" w14:textId="70E1B578" w:rsidR="00BC1968" w:rsidRPr="00963535" w:rsidRDefault="00BC1968" w:rsidP="00BC196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2019_05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.- </w:t>
            </w:r>
            <w:r w:rsidR="00931445"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 DE EDUCACIÓN BÁSICA DE PRIMARIA Y SECUNDARIA OTORGADOS DE BAJA CALIDAD</w:t>
            </w:r>
          </w:p>
        </w:tc>
      </w:tr>
      <w:tr w:rsidR="00B16888" w:rsidRPr="00963535" w14:paraId="5C1A764B" w14:textId="77777777" w:rsidTr="00B745DB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3211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AB96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B8B89" w14:textId="18303379" w:rsidR="00B16888" w:rsidRPr="00963535" w:rsidRDefault="00B1688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reuniones de balance para sensibilizar a las figuras operativas y dar seguimientos a los programas de trabajo de cada microrregión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54CBC6" w14:textId="6606978F" w:rsidR="00B16888" w:rsidRPr="00963535" w:rsidRDefault="00B16888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16888" w:rsidRPr="00963535" w14:paraId="7BAEC031" w14:textId="77777777" w:rsidTr="00B745DB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15C0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6647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91A1" w14:textId="26B57012" w:rsidR="00B16888" w:rsidRPr="00963535" w:rsidRDefault="00B1688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visitas a círculos de estudio y a educandos activos, inactivos y bajas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38D40" w14:textId="40EB62EE" w:rsidR="00B16888" w:rsidRPr="00963535" w:rsidRDefault="00B16888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16888" w:rsidRPr="00963535" w14:paraId="0245D288" w14:textId="77777777" w:rsidTr="00B745DB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006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97E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A598" w14:textId="2D8FB068" w:rsidR="00B16888" w:rsidRPr="00963535" w:rsidRDefault="00B1688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Gestionar ante organismos públicos y/o privados espacios e infraestructura para brindar asesorías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F6847E" w14:textId="60719D88" w:rsidR="00B16888" w:rsidRPr="00963535" w:rsidRDefault="00B16888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80%</w:t>
            </w:r>
          </w:p>
        </w:tc>
      </w:tr>
      <w:tr w:rsidR="00B16888" w:rsidRPr="00963535" w14:paraId="6DC4738E" w14:textId="77777777" w:rsidTr="00B745DB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6F84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F910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3D10C" w14:textId="7C6F4AC9" w:rsidR="00B16888" w:rsidRPr="00963535" w:rsidRDefault="00B1688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Dar seguimiento puntual al programa de trabajo mensual de las coordinaciones de 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7AB54" w14:textId="2F587295" w:rsidR="00B16888" w:rsidRPr="00963535" w:rsidRDefault="00B16888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16888" w:rsidRPr="00963535" w14:paraId="778EDA29" w14:textId="77777777" w:rsidTr="00B745DB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7B6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4F7" w14:textId="77777777" w:rsidR="00B16888" w:rsidRPr="00963535" w:rsidRDefault="00B16888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EC506" w14:textId="076000FA" w:rsidR="00B16888" w:rsidRPr="00963535" w:rsidRDefault="00B16888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Promover la incorporación del personal de los H. Ayuntamientos y la iniciativa privada en los programas del Instituto, así como las Jornadas de Incorporación en las microrregiones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940FC" w14:textId="7EB77E34" w:rsidR="00B16888" w:rsidRPr="00963535" w:rsidRDefault="00B16888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16888" w:rsidRPr="00963535" w14:paraId="447BAD61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545633" w14:textId="3269A5EF" w:rsidR="00B16888" w:rsidRPr="00963535" w:rsidRDefault="00B16888" w:rsidP="00B1688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2019_06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PROGRAMA ANUAL EJECUTADO DE MANERA INEFICIENTE</w:t>
            </w:r>
          </w:p>
        </w:tc>
      </w:tr>
      <w:tr w:rsidR="005372AC" w:rsidRPr="00963535" w14:paraId="783E1AD0" w14:textId="77777777" w:rsidTr="005372A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DAF" w14:textId="77777777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1E8C" w14:textId="77777777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B0E1" w14:textId="0BCE77F5" w:rsidR="005372AC" w:rsidRPr="00963535" w:rsidRDefault="005372AC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Tramitar oportunamente los recursos antes las autoridades competentes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AA7A4" w14:textId="054CB5C7" w:rsidR="005372AC" w:rsidRPr="00963535" w:rsidRDefault="005372AC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372AC" w:rsidRPr="00963535" w14:paraId="219B5DAA" w14:textId="77777777" w:rsidTr="005372AC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8E69" w14:textId="77777777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F48A" w14:textId="77777777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813EC" w14:textId="5E71C977" w:rsidR="005372AC" w:rsidRPr="00963535" w:rsidRDefault="005372AC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el informe presupuestal y el resumen de los apoyos económicos actualizado, los acuerdos de la H. Junta de Gobierno y los oficios de adecuación al presupuesto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11625" w14:textId="25D9AA22" w:rsidR="005372AC" w:rsidRPr="00963535" w:rsidRDefault="005372AC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372AC" w:rsidRPr="00963535" w14:paraId="59A98BA3" w14:textId="77777777" w:rsidTr="00516F0F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5F3" w14:textId="2193F005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3BAD" w14:textId="143CD51F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731DE" w14:textId="4E4AC60D" w:rsidR="005372AC" w:rsidRPr="00963535" w:rsidRDefault="005372AC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un stock de módulos y de material de apoyo didáctico (guías), así como dar seguimiento a los procesos de entrega de material en Coordinaciones de 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0D935" w14:textId="728628D9" w:rsidR="005372AC" w:rsidRPr="00963535" w:rsidRDefault="005372AC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372AC" w:rsidRPr="00963535" w14:paraId="3AA2B29C" w14:textId="77777777" w:rsidTr="00516F0F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971C4" w14:textId="14C01646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406C" w14:textId="3C117341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A4F5E" w14:textId="259CC92D" w:rsidR="005372AC" w:rsidRPr="00963535" w:rsidRDefault="005372AC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evaluaciones trimestrales de los indicadores de desempeño y gestión (metas)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3A4B7" w14:textId="2659AA9D" w:rsidR="005372AC" w:rsidRPr="00963535" w:rsidRDefault="005372AC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372AC" w:rsidRPr="00963535" w14:paraId="253C4AC0" w14:textId="77777777" w:rsidTr="00BA6B19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C682" w14:textId="68BCEC99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2865" w14:textId="25011DB2" w:rsidR="005372AC" w:rsidRPr="00963535" w:rsidRDefault="005372AC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762E3" w14:textId="0ADE7EC5" w:rsidR="005372AC" w:rsidRPr="00963535" w:rsidRDefault="005372AC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una evaluación externa del Programa y dar seguimiento al programa operativo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98126" w14:textId="6B07ADB1" w:rsidR="005372AC" w:rsidRPr="00963535" w:rsidRDefault="005372AC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372AC" w:rsidRPr="00963535" w14:paraId="1D38A29C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64FC87" w14:textId="3FAAD68F" w:rsidR="005372AC" w:rsidRPr="00963535" w:rsidRDefault="005372AC" w:rsidP="005372AC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2019_07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SERVICIOS GENERALES Y PROFESIONALES CONTRATADOS DE MANERA DEFICIENTE</w:t>
            </w:r>
          </w:p>
        </w:tc>
      </w:tr>
      <w:tr w:rsidR="00467199" w:rsidRPr="00963535" w14:paraId="3DBDC0F3" w14:textId="77777777" w:rsidTr="00D322C2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ECCD" w14:textId="5C4909AE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BCD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A24AE" w14:textId="0F3D4DF2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DEEC5" w14:textId="692DE4A8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2E758CD4" w14:textId="77777777" w:rsidTr="00D322C2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BC3" w14:textId="4A9E6824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762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21F47" w14:textId="120ABF2A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solicita al área que tiene la vacante o necesidad, las funciones o actividades a realizar por el profesionista, y se verifica y analiza el perfil del profesionista, así mismo se evalúa por el departamento a que va a asignarse.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6B4DD" w14:textId="264E32C0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27B07730" w14:textId="77777777" w:rsidTr="00D322C2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754F" w14:textId="4D4AF149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3ECD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B15EA" w14:textId="06C6BD5F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tienen reuniones con departamentos cuando se van a operar estrategias o nuevos programas para detectar necesidades y se les instruye para solicitar en tiempo y forma los servicios que se requieran, estas reuniones pueden ser en CIDAP o en reuniones más específicas cumpliendo con los tiempos normativos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48AE0" w14:textId="5BE57217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10743E6F" w14:textId="77777777" w:rsidTr="00D322C2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2EAD" w14:textId="2C9453AE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6C34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9A3DA10" w14:textId="115BA3DB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realiza la contratación en forma trimestral, se verifica el contrato de servicios profesionales, las actividades plasmadas en el mismo. Se solicita al profesionista la elaboración de un programa de trabajo y con posterioridad su reporte, esto con la finalidad de proporcionar seguimiento al contrato.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1631D" w14:textId="795CDB7A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0073E18C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6FFE19" w14:textId="091E4752" w:rsidR="00467199" w:rsidRPr="00963535" w:rsidRDefault="00467199" w:rsidP="00467199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2019_08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MATERIALES E INSUMOS ADQUIRIDOS EN FORMA DEFICIENTE O IRREGULAR</w:t>
            </w:r>
          </w:p>
        </w:tc>
      </w:tr>
      <w:tr w:rsidR="00467199" w:rsidRPr="00963535" w14:paraId="0D157E61" w14:textId="77777777" w:rsidTr="0026274B">
        <w:trPr>
          <w:trHeight w:val="103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70E0" w14:textId="79774492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4A58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31068D" w14:textId="77777777" w:rsidR="00467199" w:rsidRPr="00963535" w:rsidRDefault="00467199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E8BF8D9" w14:textId="01E9ECE0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65F5D" w14:textId="5ECCC4B8" w:rsidR="00467199" w:rsidRPr="00963535" w:rsidRDefault="00467199" w:rsidP="0046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22F7C661" w14:textId="77777777" w:rsidTr="0026274B">
        <w:trPr>
          <w:trHeight w:val="78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1201" w14:textId="5F30E1DF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5DC6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C6A7F" w14:textId="77777777" w:rsidR="00966715" w:rsidRPr="00963535" w:rsidRDefault="00966715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F8B2B40" w14:textId="256675A8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deberá cumplir con el proceso de adquisiciones en tiempo y forma, así como la vigilancia de lo que se solicitó con las cotizaciones y el artículo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recepcionado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72A89" w14:textId="5E8A1355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28C71863" w14:textId="77777777" w:rsidTr="0026274B">
        <w:trPr>
          <w:trHeight w:val="103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2D6A" w14:textId="0BDF7661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FB80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5631E7" w14:textId="77777777" w:rsidR="00467199" w:rsidRPr="00963535" w:rsidRDefault="00467199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0115A0" w14:textId="27947B98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Solicitar, concentrar y analizar las necesidades de las delegaciones municipales, departamentos para realizar una adquisición apegada a las necesidades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7507A" w14:textId="50F07E47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0C58E2E9" w14:textId="77777777" w:rsidTr="0026274B">
        <w:trPr>
          <w:trHeight w:val="103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4D0D" w14:textId="560AEA34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E9AD" w14:textId="77777777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93ACF" w14:textId="77777777" w:rsidR="00467199" w:rsidRPr="00963535" w:rsidRDefault="00467199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68078BA" w14:textId="33C530AD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 e informada a los servidores involucrados en el proceso de adquisiciones de materiales e insumos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43A2E" w14:textId="539D6B8D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32DB65A0" w14:textId="77777777" w:rsidTr="0026274B">
        <w:trPr>
          <w:trHeight w:val="103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CC3F" w14:textId="35992281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521F" w14:textId="3AA3D9DC" w:rsidR="00467199" w:rsidRPr="00963535" w:rsidRDefault="00467199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12D0C" w14:textId="77777777" w:rsidR="00467199" w:rsidRPr="00963535" w:rsidRDefault="00467199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A3A42CE" w14:textId="4481E87F" w:rsidR="00467199" w:rsidRPr="00963535" w:rsidRDefault="00467199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documentada, informada y capacitada a los servidores involucrados en el proceso de adquisición de materiales e insumos, cuando existan cursos fomentar la participación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1C6FB" w14:textId="255BA678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67199" w:rsidRPr="00963535" w14:paraId="7D1EBBCA" w14:textId="77777777" w:rsidTr="00A4157C">
        <w:trPr>
          <w:trHeight w:val="315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05C336" w14:textId="7CDFFB6D" w:rsidR="00467199" w:rsidRPr="00963535" w:rsidRDefault="0046719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2019_09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.- </w:t>
            </w:r>
            <w:r w:rsidR="00D074F7"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CONVENIOS PRESUPUESTALES, FIRMADOS CON POSTERIORIDAD AL EJERCICIO FISCAL CORRESPONDIENTE.</w:t>
            </w:r>
          </w:p>
        </w:tc>
      </w:tr>
      <w:tr w:rsidR="00D074F7" w:rsidRPr="00963535" w14:paraId="7A619A55" w14:textId="77777777" w:rsidTr="00257FD4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809" w14:textId="31EB8A49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A4A" w14:textId="77777777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B9B8D4" w14:textId="77777777" w:rsidR="00966715" w:rsidRPr="00963535" w:rsidRDefault="00966715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737B7D" w14:textId="654E7A61" w:rsidR="00D074F7" w:rsidRPr="00963535" w:rsidRDefault="00D074F7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los Convenios por oficio a las partes a la mayor celeridad posible, para su revisión.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545BF" w14:textId="57966D08" w:rsidR="00D074F7" w:rsidRPr="00963535" w:rsidRDefault="00D074F7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D074F7" w:rsidRPr="00963535" w14:paraId="5707B486" w14:textId="77777777" w:rsidTr="00257FD4">
        <w:trPr>
          <w:trHeight w:val="52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A917" w14:textId="08894BB7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94B9" w14:textId="77777777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02C1D" w14:textId="77777777" w:rsidR="00966715" w:rsidRPr="00963535" w:rsidRDefault="00966715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5874DFB" w14:textId="05F44B7A" w:rsidR="00D074F7" w:rsidRPr="00963535" w:rsidRDefault="00D074F7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Estar en constante contacto con las partes para evitar dilaciones en su revisión y firma.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768AF" w14:textId="5A891937" w:rsidR="00D074F7" w:rsidRPr="00963535" w:rsidRDefault="00D074F7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D074F7" w:rsidRPr="00963535" w14:paraId="797E49B1" w14:textId="77777777" w:rsidTr="00A4157C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664C" w14:textId="759D4B3D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67D9" w14:textId="77777777" w:rsidR="00D074F7" w:rsidRPr="00963535" w:rsidRDefault="00D074F7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BB6F" w14:textId="318020B5" w:rsidR="00D074F7" w:rsidRPr="00963535" w:rsidRDefault="00D074F7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a las partes la documentación legal que requieran para fundamentar el clausulado del convenio como por ejemplo la asignación programática presupuestal.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175BA" w14:textId="6ECF3230" w:rsidR="00D074F7" w:rsidRPr="00963535" w:rsidRDefault="00D074F7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A723B" w:rsidRPr="00963535" w14:paraId="102EE689" w14:textId="77777777" w:rsidTr="008D4926">
        <w:trPr>
          <w:trHeight w:val="525"/>
        </w:trPr>
        <w:tc>
          <w:tcPr>
            <w:tcW w:w="9541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4376BC" w14:textId="7F8CCFB6" w:rsidR="002A723B" w:rsidRPr="00963535" w:rsidRDefault="002A723B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2019_10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.-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SERVICIO Y SOPORTE DE TIC´S OTORGADOS DE FORMA DEFICIENTE</w:t>
            </w:r>
          </w:p>
        </w:tc>
      </w:tr>
      <w:tr w:rsidR="002A723B" w:rsidRPr="00963535" w14:paraId="71207256" w14:textId="77777777" w:rsidTr="008A29D8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BA4A" w14:textId="03977866" w:rsidR="002A723B" w:rsidRPr="00963535" w:rsidRDefault="002A723B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593" w14:textId="4B1061DE" w:rsidR="002A723B" w:rsidRPr="00963535" w:rsidRDefault="002A723B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89730" w14:textId="0900E2BE" w:rsidR="002A723B" w:rsidRPr="00963535" w:rsidRDefault="002A723B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da seguimiento al desempeño y cumplimiento de los requerimientos técnicos y compromisos establecidos en los contratos de mantenimiento preventivo y correctivo de los equipos de cómputo</w:t>
            </w:r>
            <w:r w:rsidR="00BD4641" w:rsidRPr="009635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DDAA" w14:textId="748B6587" w:rsidR="00BD4641" w:rsidRPr="00963535" w:rsidRDefault="00BD4641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A723B" w:rsidRPr="00963535" w14:paraId="2F514C96" w14:textId="77777777" w:rsidTr="00BD4641">
        <w:trPr>
          <w:trHeight w:val="74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8D7D" w14:textId="77777777" w:rsidR="002A723B" w:rsidRPr="00963535" w:rsidRDefault="002A723B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D1D9" w14:textId="77777777" w:rsidR="002A723B" w:rsidRPr="00963535" w:rsidRDefault="002A723B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497638B7" w14:textId="7154959B" w:rsidR="002A723B" w:rsidRPr="00963535" w:rsidRDefault="002A723B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A97E0" w14:textId="2828BB13" w:rsidR="002A723B" w:rsidRPr="00963535" w:rsidRDefault="002A723B" w:rsidP="002A723B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D4641" w:rsidRPr="00963535" w14:paraId="742FC3D6" w14:textId="77777777" w:rsidTr="008A29D8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C693" w14:textId="10E571C4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382" w14:textId="3F873FCC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2C8890AE" w14:textId="52229F27" w:rsidR="00BD4641" w:rsidRPr="00963535" w:rsidRDefault="00BD464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Capacitación constante a las figuras operativas de Plazas Comunitarias para evaluar, instalar y configurar los recursos de cómputo y periféricos de la Unidad Operativa.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31D82" w14:textId="07D7B271" w:rsidR="00BD4641" w:rsidRPr="00963535" w:rsidRDefault="00BD4641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D4641" w:rsidRPr="00963535" w14:paraId="04EE3749" w14:textId="77777777" w:rsidTr="008A29D8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76E5" w14:textId="32B644F7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DF13" w14:textId="29BD18BB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7D791FF" w14:textId="15408BF0" w:rsidR="00BD4641" w:rsidRPr="00963535" w:rsidRDefault="00BD464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al manejo y alcance de las garantías de los equipos de cómputo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08E963" w14:textId="1E9E97CE" w:rsidR="00BD4641" w:rsidRPr="00963535" w:rsidRDefault="00BD4641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D4641" w:rsidRPr="00963535" w14:paraId="7853BAF1" w14:textId="77777777" w:rsidTr="008A29D8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EFBD" w14:textId="004660C0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1F6C" w14:textId="5289B5E3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38E72C14" w14:textId="684537D3" w:rsidR="00BD4641" w:rsidRPr="00963535" w:rsidRDefault="00BD464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pretende elaborar políticas y procedimientos de uso de los recursos informáticos del Instituto.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2DDCD" w14:textId="617FFE62" w:rsidR="00BD4641" w:rsidRPr="00963535" w:rsidRDefault="00BD4641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D4641" w:rsidRPr="00963535" w14:paraId="32B3DB9E" w14:textId="77777777" w:rsidTr="003B5F78">
        <w:trPr>
          <w:trHeight w:val="31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31A6" w14:textId="2A7B8933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948E" w14:textId="724976B9" w:rsidR="00BD4641" w:rsidRPr="00963535" w:rsidRDefault="00BD4641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07C3F0F8" w14:textId="427B77FD" w:rsidR="00BD4641" w:rsidRPr="00963535" w:rsidRDefault="00BD4641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Mejorar e implementar reportes de navegación por usuario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00045B" w14:textId="542CBFE3" w:rsidR="00BD4641" w:rsidRPr="00963535" w:rsidRDefault="00BD4641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724EE03F" w14:textId="76038C07" w:rsidR="00161CAC" w:rsidRDefault="00161CAC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011FEE85" w14:textId="410E0F1A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366276C" w14:textId="11032A69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417EBF42" w14:textId="367C1AE6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220ADD0" w14:textId="4AB8F09C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33F367AA" w14:textId="1BDCBA2E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7DDF2CE1" w14:textId="75C9C073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7E900C6" w14:textId="20CF95A8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6AD0CD2" w14:textId="47D1B65F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094CE08D" w14:textId="654F4960" w:rsidR="006C28CE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13B49310" w14:textId="77777777" w:rsidR="006C28CE" w:rsidRPr="00161CAC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6FDBFDB" w14:textId="77777777" w:rsidR="00054019" w:rsidRPr="00BB0386" w:rsidRDefault="00737078" w:rsidP="00054019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737078">
        <w:rPr>
          <w:rFonts w:ascii="Arial Narrow" w:hAnsi="Arial Narrow"/>
          <w:sz w:val="21"/>
          <w:szCs w:val="21"/>
        </w:rPr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BB0386">
        <w:rPr>
          <w:rFonts w:ascii="Arial Narrow" w:hAnsi="Arial Narrow"/>
          <w:sz w:val="21"/>
          <w:szCs w:val="21"/>
        </w:rPr>
        <w:t>:</w:t>
      </w:r>
    </w:p>
    <w:p w14:paraId="058997BC" w14:textId="117A8BAE" w:rsidR="00963535" w:rsidRPr="006C28CE" w:rsidRDefault="00ED19EB" w:rsidP="006C28CE">
      <w:pPr>
        <w:jc w:val="both"/>
        <w:rPr>
          <w:rFonts w:ascii="Arial Narrow" w:hAnsi="Arial Narrow"/>
          <w:b/>
          <w:sz w:val="21"/>
          <w:szCs w:val="21"/>
        </w:rPr>
      </w:pPr>
      <w:r w:rsidRPr="00ED19EB">
        <w:rPr>
          <w:rFonts w:ascii="Arial Narrow" w:hAnsi="Arial Narrow"/>
          <w:b/>
          <w:sz w:val="21"/>
          <w:szCs w:val="21"/>
        </w:rPr>
        <w:t xml:space="preserve">LA ENTREGA </w:t>
      </w:r>
      <w:r w:rsidR="00963535">
        <w:rPr>
          <w:rFonts w:ascii="Arial Narrow" w:hAnsi="Arial Narrow"/>
          <w:b/>
          <w:sz w:val="21"/>
          <w:szCs w:val="21"/>
        </w:rPr>
        <w:t>DEL REPORTE FUE OPORTUNA, EXCEPTUANDO EL DEPARTAMENTO DE ACREDITACIÓN AL QUE SE LES HIZO LAS CORRECCIONES CORRESPONDIENTES Y NO REGRESO EL FORMATO CORREGIDO.</w:t>
      </w:r>
    </w:p>
    <w:p w14:paraId="6CCA6FF0" w14:textId="77777777" w:rsidR="00963535" w:rsidRPr="00BB0386" w:rsidRDefault="00963535">
      <w:pPr>
        <w:rPr>
          <w:rFonts w:ascii="Arial Narrow" w:hAnsi="Arial Narrow"/>
          <w:sz w:val="21"/>
          <w:szCs w:val="21"/>
        </w:rPr>
      </w:pPr>
    </w:p>
    <w:p w14:paraId="15C7D123" w14:textId="1D70B2B9" w:rsidR="006D2A66" w:rsidRPr="00963535" w:rsidRDefault="00682EFF" w:rsidP="00963535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682EFF">
        <w:rPr>
          <w:rStyle w:val="A4"/>
          <w:rFonts w:ascii="Arial Narrow" w:hAnsi="Arial Narrow"/>
          <w:sz w:val="21"/>
          <w:szCs w:val="21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14:paraId="2DAEE350" w14:textId="5D15871A" w:rsidR="006D2A66" w:rsidRPr="006D2A66" w:rsidRDefault="006D2A66" w:rsidP="006D2A66">
      <w:pPr>
        <w:jc w:val="both"/>
        <w:rPr>
          <w:rFonts w:ascii="Arial Narrow" w:hAnsi="Arial Narrow"/>
          <w:b/>
          <w:sz w:val="21"/>
          <w:szCs w:val="21"/>
        </w:rPr>
      </w:pPr>
      <w:r w:rsidRPr="006D2A66">
        <w:rPr>
          <w:rFonts w:ascii="Arial Narrow" w:hAnsi="Arial Narrow"/>
          <w:b/>
          <w:sz w:val="21"/>
          <w:szCs w:val="21"/>
        </w:rPr>
        <w:t>EN CONCLUSIÓN, DURANTE EL TRIMESTRE</w:t>
      </w:r>
      <w:r w:rsidR="00963535">
        <w:rPr>
          <w:rFonts w:ascii="Arial Narrow" w:hAnsi="Arial Narrow"/>
          <w:b/>
          <w:sz w:val="21"/>
          <w:szCs w:val="21"/>
        </w:rPr>
        <w:t xml:space="preserve"> JULIO-SEPTIEMBRE</w:t>
      </w:r>
      <w:r w:rsidR="00EE5845">
        <w:rPr>
          <w:rFonts w:ascii="Arial Narrow" w:hAnsi="Arial Narrow"/>
          <w:b/>
          <w:sz w:val="21"/>
          <w:szCs w:val="21"/>
        </w:rPr>
        <w:t xml:space="preserve">, SE LOGRO UN 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AVANCE </w:t>
      </w:r>
      <w:r w:rsidR="00071D9F">
        <w:rPr>
          <w:rFonts w:ascii="Arial Narrow" w:hAnsi="Arial Narrow"/>
          <w:b/>
          <w:sz w:val="21"/>
          <w:szCs w:val="21"/>
        </w:rPr>
        <w:t>DEL 8</w:t>
      </w:r>
      <w:r w:rsidR="00963535">
        <w:rPr>
          <w:rFonts w:ascii="Arial Narrow" w:hAnsi="Arial Narrow"/>
          <w:b/>
          <w:sz w:val="21"/>
          <w:szCs w:val="21"/>
        </w:rPr>
        <w:t>6</w:t>
      </w:r>
      <w:r w:rsidR="00EE5845" w:rsidRPr="00207348">
        <w:rPr>
          <w:rFonts w:ascii="Arial Narrow" w:hAnsi="Arial Narrow"/>
          <w:b/>
          <w:sz w:val="21"/>
          <w:szCs w:val="21"/>
        </w:rPr>
        <w:t>.</w:t>
      </w:r>
      <w:r w:rsidR="00963535">
        <w:rPr>
          <w:rFonts w:ascii="Arial Narrow" w:hAnsi="Arial Narrow"/>
          <w:b/>
          <w:sz w:val="21"/>
          <w:szCs w:val="21"/>
        </w:rPr>
        <w:t>36</w:t>
      </w:r>
      <w:r w:rsidRPr="00207348">
        <w:rPr>
          <w:rFonts w:ascii="Arial Narrow" w:hAnsi="Arial Narrow"/>
          <w:b/>
          <w:sz w:val="21"/>
          <w:szCs w:val="21"/>
        </w:rPr>
        <w:t xml:space="preserve">% EN LA ATENCIÓN DE LAS ACCIONES DE CONTROL, 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SIGNIFICANDO LA CONCLUSIÓN DE </w:t>
      </w:r>
      <w:r w:rsidR="00207348" w:rsidRPr="00207348">
        <w:rPr>
          <w:rFonts w:ascii="Arial Narrow" w:hAnsi="Arial Narrow"/>
          <w:b/>
          <w:sz w:val="21"/>
          <w:szCs w:val="21"/>
        </w:rPr>
        <w:t>3</w:t>
      </w:r>
      <w:r w:rsidR="00963535">
        <w:rPr>
          <w:rFonts w:ascii="Arial Narrow" w:hAnsi="Arial Narrow"/>
          <w:b/>
          <w:sz w:val="21"/>
          <w:szCs w:val="21"/>
        </w:rPr>
        <w:t>8</w:t>
      </w:r>
      <w:r w:rsidRPr="00207348">
        <w:rPr>
          <w:rFonts w:ascii="Arial Narrow" w:hAnsi="Arial Narrow"/>
          <w:b/>
          <w:sz w:val="21"/>
          <w:szCs w:val="21"/>
        </w:rPr>
        <w:t xml:space="preserve"> ACCIONES, QUEDANDO </w:t>
      </w:r>
      <w:r w:rsidR="00963535">
        <w:rPr>
          <w:rFonts w:ascii="Arial Narrow" w:hAnsi="Arial Narrow"/>
          <w:b/>
          <w:sz w:val="21"/>
          <w:szCs w:val="21"/>
        </w:rPr>
        <w:t>5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 EN PROCESO Y 1</w:t>
      </w:r>
      <w:r w:rsidRPr="00207348">
        <w:rPr>
          <w:rFonts w:ascii="Arial Narrow" w:hAnsi="Arial Narrow"/>
          <w:b/>
          <w:sz w:val="21"/>
          <w:szCs w:val="21"/>
        </w:rPr>
        <w:t xml:space="preserve"> SIN AVANCE, DE ACUERDO AL PLAN DE TRABAJO DE ADMINISTRACIÓN DE RIESGOS DEL INSTITUTO</w:t>
      </w:r>
      <w:r w:rsidRPr="006D2A66">
        <w:rPr>
          <w:rFonts w:ascii="Arial Narrow" w:hAnsi="Arial Narrow"/>
          <w:b/>
          <w:sz w:val="21"/>
          <w:szCs w:val="21"/>
        </w:rPr>
        <w:t>.</w:t>
      </w:r>
    </w:p>
    <w:p w14:paraId="26AD9C1C" w14:textId="0C192BDF" w:rsidR="00054019" w:rsidRPr="006C28CE" w:rsidRDefault="006D2A66" w:rsidP="006C28CE">
      <w:pPr>
        <w:jc w:val="both"/>
        <w:rPr>
          <w:rFonts w:ascii="Arial Narrow" w:hAnsi="Arial Narrow"/>
          <w:b/>
          <w:sz w:val="21"/>
          <w:szCs w:val="21"/>
        </w:rPr>
      </w:pPr>
      <w:r w:rsidRPr="006D2A66">
        <w:rPr>
          <w:rFonts w:ascii="Arial Narrow" w:hAnsi="Arial Narrow"/>
          <w:b/>
          <w:sz w:val="21"/>
          <w:szCs w:val="21"/>
        </w:rPr>
        <w:t xml:space="preserve">LO QUE NOS HA PERMITIDO ANALIZAR, IDENTIFICAR Y CONTRIBUIR A MEJORAR LOS PROCESOS QUE SE VIENEN DANDO EN LAS DIFERENTES AREAS DEL INSTITUTO, ASI COMO RECONOCER LAS DEBILIDADES Y FORTALEZAS QUE TENEMOS. ES IMPORTANTE MENCIONAR QUE A TRAVÉS DE </w:t>
      </w:r>
      <w:r w:rsidR="0072590B">
        <w:rPr>
          <w:rFonts w:ascii="Arial Narrow" w:hAnsi="Arial Narrow"/>
          <w:b/>
          <w:sz w:val="21"/>
          <w:szCs w:val="21"/>
        </w:rPr>
        <w:t>ESTOS INFORMES</w:t>
      </w:r>
      <w:r w:rsidRPr="006D2A66">
        <w:rPr>
          <w:rFonts w:ascii="Arial Narrow" w:hAnsi="Arial Narrow"/>
          <w:b/>
          <w:sz w:val="21"/>
          <w:szCs w:val="21"/>
        </w:rPr>
        <w:t xml:space="preserve"> SE HAN IDENTIFICADOS NUEVAS AMENZAS Y OPORTUNIDADES EN LA ADMINISTRACIÓN DE RIESGOS DE LOS PROCESOS DEL IEEA.</w:t>
      </w:r>
    </w:p>
    <w:p w14:paraId="1CC4C182" w14:textId="5AF819B9" w:rsidR="00D6664B" w:rsidRDefault="00D6664B" w:rsidP="00EB54A3">
      <w:pPr>
        <w:rPr>
          <w:rFonts w:ascii="Arial Narrow" w:hAnsi="Arial Narrow"/>
          <w:sz w:val="21"/>
          <w:szCs w:val="21"/>
        </w:rPr>
      </w:pPr>
    </w:p>
    <w:p w14:paraId="3B89B85F" w14:textId="77777777" w:rsidR="006C28CE" w:rsidRDefault="006C28CE" w:rsidP="006C28CE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El Enlace de Administración de Riesgos</w:t>
      </w:r>
    </w:p>
    <w:p w14:paraId="7AFFC6EA" w14:textId="417EF0C0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3DE6C566" w14:textId="592FB71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1690C44E" w14:textId="2D45C356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686372A9" w14:textId="77777777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6B60755D" w14:textId="6E836C7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0AB81B07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JORGE ALBERTO SANMIGUEL WONG</w:t>
      </w:r>
    </w:p>
    <w:p w14:paraId="4EF0D469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JEFE DEL DEPTO. PLANEACIÓN Y </w:t>
      </w:r>
    </w:p>
    <w:p w14:paraId="53F19623" w14:textId="76199833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SEGUIMIENTO OPERATIVO</w:t>
      </w:r>
    </w:p>
    <w:p w14:paraId="42E5F36B" w14:textId="77777777" w:rsidR="006C28CE" w:rsidRPr="00BB0386" w:rsidRDefault="006C28CE" w:rsidP="00EB54A3">
      <w:pPr>
        <w:rPr>
          <w:rFonts w:ascii="Arial Narrow" w:hAnsi="Arial Narrow"/>
          <w:sz w:val="21"/>
          <w:szCs w:val="21"/>
        </w:rPr>
      </w:pPr>
    </w:p>
    <w:sectPr w:rsidR="006C28CE" w:rsidRPr="00BB0386" w:rsidSect="00E60A3C">
      <w:headerReference w:type="default" r:id="rId8"/>
      <w:footerReference w:type="default" r:id="rId9"/>
      <w:pgSz w:w="12240" w:h="15840"/>
      <w:pgMar w:top="1134" w:right="1247" w:bottom="1134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946A" w14:textId="77777777" w:rsidR="00A87684" w:rsidRDefault="00A87684" w:rsidP="00D6664B">
      <w:pPr>
        <w:spacing w:after="0" w:line="240" w:lineRule="auto"/>
      </w:pPr>
      <w:r>
        <w:separator/>
      </w:r>
    </w:p>
  </w:endnote>
  <w:endnote w:type="continuationSeparator" w:id="0">
    <w:p w14:paraId="70633904" w14:textId="77777777" w:rsidR="00A87684" w:rsidRDefault="00A87684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352155"/>
      <w:docPartObj>
        <w:docPartGallery w:val="Page Numbers (Bottom of Page)"/>
        <w:docPartUnique/>
      </w:docPartObj>
    </w:sdtPr>
    <w:sdtEndPr/>
    <w:sdtContent>
      <w:p w14:paraId="2315B60F" w14:textId="77777777" w:rsidR="00E60A3C" w:rsidRDefault="00E60A3C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D4" w:rsidRPr="00DE24D4">
          <w:rPr>
            <w:noProof/>
            <w:lang w:val="es-ES"/>
          </w:rPr>
          <w:t>-</w:t>
        </w:r>
        <w:r w:rsidR="00DE24D4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0C53" w14:textId="77777777" w:rsidR="00A87684" w:rsidRDefault="00A87684" w:rsidP="00D6664B">
      <w:pPr>
        <w:spacing w:after="0" w:line="240" w:lineRule="auto"/>
      </w:pPr>
      <w:r>
        <w:separator/>
      </w:r>
    </w:p>
  </w:footnote>
  <w:footnote w:type="continuationSeparator" w:id="0">
    <w:p w14:paraId="2C0500C5" w14:textId="77777777" w:rsidR="00A87684" w:rsidRDefault="00A87684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D6664B" w14:paraId="5B4404C4" w14:textId="77777777" w:rsidTr="00D6664B">
      <w:trPr>
        <w:trHeight w:val="558"/>
      </w:trPr>
      <w:tc>
        <w:tcPr>
          <w:tcW w:w="2972" w:type="dxa"/>
          <w:vMerge w:val="restart"/>
          <w:vAlign w:val="center"/>
        </w:tcPr>
        <w:p w14:paraId="72F4A14C" w14:textId="77777777" w:rsidR="00D6664B" w:rsidRDefault="000C7D41" w:rsidP="00D6664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0C32857" wp14:editId="49EF6407">
                <wp:extent cx="777240" cy="777240"/>
                <wp:effectExtent l="0" t="0" r="3810" b="3810"/>
                <wp:docPr id="1" name="Imagen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2DDCCFE1" w14:textId="77777777" w:rsidR="00D6664B" w:rsidRDefault="00D6664B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0B1FBA8A" w14:textId="77777777" w:rsidR="00D6664B" w:rsidRDefault="000C7D41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INSTITUTO ESTATA DE LA EDUCACIÓN PARA LOS ADULTOS</w:t>
          </w:r>
        </w:p>
      </w:tc>
    </w:tr>
    <w:tr w:rsidR="00D6664B" w14:paraId="49329C8F" w14:textId="77777777" w:rsidTr="00D6664B">
      <w:tc>
        <w:tcPr>
          <w:tcW w:w="2972" w:type="dxa"/>
          <w:vMerge/>
          <w:vAlign w:val="center"/>
        </w:tcPr>
        <w:p w14:paraId="5B77BBBA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14:paraId="1B69B753" w14:textId="77777777" w:rsidR="00D6664B" w:rsidRPr="00D6664B" w:rsidRDefault="00D6664B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14:paraId="41AA9C15" w14:textId="77777777" w:rsidR="00D6664B" w:rsidRPr="00D6664B" w:rsidRDefault="00D6664B">
          <w:pPr>
            <w:pStyle w:val="Encabezado"/>
            <w:rPr>
              <w:sz w:val="6"/>
            </w:rPr>
          </w:pPr>
        </w:p>
      </w:tc>
    </w:tr>
    <w:tr w:rsidR="00D6664B" w14:paraId="1342D0B8" w14:textId="77777777" w:rsidTr="00D6664B">
      <w:trPr>
        <w:trHeight w:val="635"/>
      </w:trPr>
      <w:tc>
        <w:tcPr>
          <w:tcW w:w="2972" w:type="dxa"/>
          <w:vMerge/>
          <w:vAlign w:val="center"/>
        </w:tcPr>
        <w:p w14:paraId="35ACE601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450075DA" w14:textId="77777777"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3DB5FC98" w14:textId="77777777" w:rsidR="00037C5A" w:rsidRDefault="000C7D41" w:rsidP="00037C5A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REPORTE DE AVANCE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TRIMESTRAL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</w:t>
          </w:r>
          <w:r w:rsidR="00D6664B" w:rsidRPr="003E60D8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DEL PROGRA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MA </w:t>
          </w:r>
        </w:p>
        <w:p w14:paraId="09A8293D" w14:textId="77777777" w:rsidR="00D6664B" w:rsidRDefault="00D6664B" w:rsidP="00037C5A">
          <w:pPr>
            <w:ind w:right="-426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DE TRABAJO DE 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ADMINISTRACIÓN DE RIESGOS</w:t>
          </w:r>
          <w:r w:rsidR="000C7D41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DEL IEEA</w:t>
          </w:r>
        </w:p>
      </w:tc>
    </w:tr>
  </w:tbl>
  <w:p w14:paraId="054DE83B" w14:textId="77777777" w:rsidR="00D6664B" w:rsidRPr="000C7D41" w:rsidRDefault="00D6664B">
    <w:pPr>
      <w:pStyle w:val="Encabezado"/>
      <w:rPr>
        <w:sz w:val="8"/>
      </w:rPr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D6664B" w14:paraId="51F75BAA" w14:textId="77777777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18D2DA8E" w14:textId="77777777" w:rsidR="00D6664B" w:rsidRPr="00991F48" w:rsidRDefault="00D6664B" w:rsidP="00D6664B">
          <w:pPr>
            <w:pStyle w:val="Encabezado"/>
            <w:rPr>
              <w:b/>
              <w:sz w:val="20"/>
            </w:rPr>
          </w:pPr>
          <w:r w:rsidRPr="00991F48">
            <w:rPr>
              <w:b/>
              <w:sz w:val="20"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14:paraId="6C17391F" w14:textId="693591BE" w:rsidR="00D6664B" w:rsidRPr="00991F48" w:rsidRDefault="00D6664B" w:rsidP="003A7E0B">
          <w:pPr>
            <w:pStyle w:val="Encabezado"/>
            <w:jc w:val="center"/>
            <w:rPr>
              <w:b/>
              <w:sz w:val="20"/>
            </w:rPr>
          </w:pPr>
          <w:r w:rsidRPr="00991F48">
            <w:rPr>
              <w:b/>
              <w:sz w:val="20"/>
            </w:rPr>
            <w:t>201</w:t>
          </w:r>
          <w:r w:rsidR="004C16B2">
            <w:rPr>
              <w:b/>
              <w:sz w:val="20"/>
            </w:rPr>
            <w:t>9</w:t>
          </w:r>
        </w:p>
      </w:tc>
    </w:tr>
    <w:tr w:rsidR="00D6664B" w14:paraId="75CF650E" w14:textId="77777777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14:paraId="198456E9" w14:textId="77777777" w:rsidR="00D6664B" w:rsidRPr="00991F48" w:rsidRDefault="00D6664B" w:rsidP="00D6664B">
          <w:pPr>
            <w:pStyle w:val="Encabezado"/>
            <w:rPr>
              <w:b/>
              <w:sz w:val="20"/>
            </w:rPr>
          </w:pPr>
          <w:r w:rsidRPr="00991F48">
            <w:rPr>
              <w:b/>
              <w:sz w:val="20"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14:paraId="0506ED6F" w14:textId="78977E68" w:rsidR="00D6664B" w:rsidRPr="00991F48" w:rsidRDefault="004C16B2" w:rsidP="00991F48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Julio-Septiembre</w:t>
          </w:r>
        </w:p>
      </w:tc>
    </w:tr>
    <w:tr w:rsidR="00D6664B" w14:paraId="7400D33E" w14:textId="77777777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14:paraId="3064D0F5" w14:textId="77777777" w:rsidR="00D6664B" w:rsidRPr="000C7D41" w:rsidRDefault="00D6664B" w:rsidP="00D6664B">
          <w:pPr>
            <w:pStyle w:val="Encabezado"/>
            <w:jc w:val="right"/>
            <w:rPr>
              <w:sz w:val="12"/>
            </w:rPr>
          </w:pPr>
        </w:p>
        <w:p w14:paraId="26B11F0C" w14:textId="113F6EBA" w:rsidR="006C1761" w:rsidRDefault="00145FE2" w:rsidP="004C16B2">
          <w:pPr>
            <w:pStyle w:val="Encabezado"/>
            <w:jc w:val="right"/>
          </w:pPr>
          <w:r>
            <w:t>Fecha de elaboración: 23</w:t>
          </w:r>
          <w:r w:rsidR="00CD0CE9">
            <w:t>-</w:t>
          </w:r>
          <w:r w:rsidR="004C16B2">
            <w:t>octubre</w:t>
          </w:r>
          <w:r w:rsidR="00CD0CE9">
            <w:t>-</w:t>
          </w:r>
          <w:r w:rsidR="002C0B00">
            <w:t>201</w:t>
          </w:r>
          <w:r w:rsidR="00991F48">
            <w:t>9</w:t>
          </w:r>
        </w:p>
      </w:tc>
    </w:tr>
  </w:tbl>
  <w:p w14:paraId="5EB4E117" w14:textId="77777777" w:rsidR="00C56FED" w:rsidRPr="000C7D41" w:rsidRDefault="00C56FED" w:rsidP="002C0B00">
    <w:pPr>
      <w:pStyle w:val="Encabezado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0976DD"/>
    <w:multiLevelType w:val="hybridMultilevel"/>
    <w:tmpl w:val="0F0CC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4B"/>
    <w:rsid w:val="00022AE7"/>
    <w:rsid w:val="00037C5A"/>
    <w:rsid w:val="00054019"/>
    <w:rsid w:val="00071D9F"/>
    <w:rsid w:val="0008578A"/>
    <w:rsid w:val="000C7D41"/>
    <w:rsid w:val="000F3068"/>
    <w:rsid w:val="00123169"/>
    <w:rsid w:val="00127F1D"/>
    <w:rsid w:val="00137353"/>
    <w:rsid w:val="00145FE2"/>
    <w:rsid w:val="00146890"/>
    <w:rsid w:val="00161CAC"/>
    <w:rsid w:val="00170F61"/>
    <w:rsid w:val="00184BD2"/>
    <w:rsid w:val="0018675E"/>
    <w:rsid w:val="001917C9"/>
    <w:rsid w:val="00194590"/>
    <w:rsid w:val="001A4FB9"/>
    <w:rsid w:val="001B2374"/>
    <w:rsid w:val="001C03B7"/>
    <w:rsid w:val="001F075E"/>
    <w:rsid w:val="00207348"/>
    <w:rsid w:val="00224DC6"/>
    <w:rsid w:val="00241049"/>
    <w:rsid w:val="00265B0D"/>
    <w:rsid w:val="002731C1"/>
    <w:rsid w:val="002853DC"/>
    <w:rsid w:val="00291DB0"/>
    <w:rsid w:val="002A723B"/>
    <w:rsid w:val="002C0B00"/>
    <w:rsid w:val="002D34D7"/>
    <w:rsid w:val="00322B17"/>
    <w:rsid w:val="003265C5"/>
    <w:rsid w:val="003558CB"/>
    <w:rsid w:val="00355DA8"/>
    <w:rsid w:val="003570F1"/>
    <w:rsid w:val="00390386"/>
    <w:rsid w:val="003A721C"/>
    <w:rsid w:val="003A7E0B"/>
    <w:rsid w:val="003D4F21"/>
    <w:rsid w:val="00407B3C"/>
    <w:rsid w:val="004324F4"/>
    <w:rsid w:val="004639EC"/>
    <w:rsid w:val="00467199"/>
    <w:rsid w:val="00470F86"/>
    <w:rsid w:val="004A256B"/>
    <w:rsid w:val="004A5D59"/>
    <w:rsid w:val="004B5EC5"/>
    <w:rsid w:val="004C16B2"/>
    <w:rsid w:val="005168B1"/>
    <w:rsid w:val="005372AC"/>
    <w:rsid w:val="00542FDF"/>
    <w:rsid w:val="0057052C"/>
    <w:rsid w:val="005918DA"/>
    <w:rsid w:val="005D5E7E"/>
    <w:rsid w:val="005F4670"/>
    <w:rsid w:val="006158EB"/>
    <w:rsid w:val="006343ED"/>
    <w:rsid w:val="006465E9"/>
    <w:rsid w:val="00656395"/>
    <w:rsid w:val="00670C28"/>
    <w:rsid w:val="00682EFF"/>
    <w:rsid w:val="006C1761"/>
    <w:rsid w:val="006C28CE"/>
    <w:rsid w:val="006D2A66"/>
    <w:rsid w:val="006D4433"/>
    <w:rsid w:val="006D629D"/>
    <w:rsid w:val="006F1479"/>
    <w:rsid w:val="006F36D0"/>
    <w:rsid w:val="0072103C"/>
    <w:rsid w:val="0072590B"/>
    <w:rsid w:val="00737078"/>
    <w:rsid w:val="007522F3"/>
    <w:rsid w:val="00762A63"/>
    <w:rsid w:val="00766823"/>
    <w:rsid w:val="007C521D"/>
    <w:rsid w:val="007E6202"/>
    <w:rsid w:val="007F1846"/>
    <w:rsid w:val="00812450"/>
    <w:rsid w:val="00816EA7"/>
    <w:rsid w:val="008603A1"/>
    <w:rsid w:val="00885ADA"/>
    <w:rsid w:val="008B2106"/>
    <w:rsid w:val="008D4D27"/>
    <w:rsid w:val="008E13EA"/>
    <w:rsid w:val="008E71DE"/>
    <w:rsid w:val="008F173B"/>
    <w:rsid w:val="009053FF"/>
    <w:rsid w:val="0091632F"/>
    <w:rsid w:val="00922DF8"/>
    <w:rsid w:val="00931445"/>
    <w:rsid w:val="0093402F"/>
    <w:rsid w:val="009519BB"/>
    <w:rsid w:val="00963535"/>
    <w:rsid w:val="00966715"/>
    <w:rsid w:val="009754ED"/>
    <w:rsid w:val="00976A9B"/>
    <w:rsid w:val="00991F48"/>
    <w:rsid w:val="009F6C1E"/>
    <w:rsid w:val="00A1122E"/>
    <w:rsid w:val="00A4157C"/>
    <w:rsid w:val="00A477EF"/>
    <w:rsid w:val="00A6653C"/>
    <w:rsid w:val="00A87684"/>
    <w:rsid w:val="00A9448B"/>
    <w:rsid w:val="00AB0762"/>
    <w:rsid w:val="00AB1EE1"/>
    <w:rsid w:val="00AB58C5"/>
    <w:rsid w:val="00AB5F75"/>
    <w:rsid w:val="00AC68EA"/>
    <w:rsid w:val="00AC7B21"/>
    <w:rsid w:val="00AE41A7"/>
    <w:rsid w:val="00AF08F0"/>
    <w:rsid w:val="00B16888"/>
    <w:rsid w:val="00B16A31"/>
    <w:rsid w:val="00B26705"/>
    <w:rsid w:val="00B43092"/>
    <w:rsid w:val="00B45130"/>
    <w:rsid w:val="00B63AC2"/>
    <w:rsid w:val="00BB0386"/>
    <w:rsid w:val="00BC1968"/>
    <w:rsid w:val="00BC67C6"/>
    <w:rsid w:val="00BD4641"/>
    <w:rsid w:val="00C3327A"/>
    <w:rsid w:val="00C337F2"/>
    <w:rsid w:val="00C45413"/>
    <w:rsid w:val="00C46017"/>
    <w:rsid w:val="00C56FED"/>
    <w:rsid w:val="00C76B0C"/>
    <w:rsid w:val="00C92965"/>
    <w:rsid w:val="00CA40F9"/>
    <w:rsid w:val="00CA486F"/>
    <w:rsid w:val="00CC59A7"/>
    <w:rsid w:val="00CD0CE9"/>
    <w:rsid w:val="00CE34A5"/>
    <w:rsid w:val="00D074F7"/>
    <w:rsid w:val="00D1086C"/>
    <w:rsid w:val="00D37BDA"/>
    <w:rsid w:val="00D4453A"/>
    <w:rsid w:val="00D454C8"/>
    <w:rsid w:val="00D52FAE"/>
    <w:rsid w:val="00D6664B"/>
    <w:rsid w:val="00D7342B"/>
    <w:rsid w:val="00D956F5"/>
    <w:rsid w:val="00DA1F46"/>
    <w:rsid w:val="00DB6D66"/>
    <w:rsid w:val="00DE24D4"/>
    <w:rsid w:val="00DF63D2"/>
    <w:rsid w:val="00E23B90"/>
    <w:rsid w:val="00E57633"/>
    <w:rsid w:val="00E6067A"/>
    <w:rsid w:val="00E60A3C"/>
    <w:rsid w:val="00E72BE7"/>
    <w:rsid w:val="00EB54A3"/>
    <w:rsid w:val="00EC5087"/>
    <w:rsid w:val="00ED19EB"/>
    <w:rsid w:val="00ED6B2A"/>
    <w:rsid w:val="00EE5845"/>
    <w:rsid w:val="00F55547"/>
    <w:rsid w:val="00F57B50"/>
    <w:rsid w:val="00F978E7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2034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B1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Laura Witinea Avila</cp:lastModifiedBy>
  <cp:revision>74</cp:revision>
  <cp:lastPrinted>2019-10-30T15:28:00Z</cp:lastPrinted>
  <dcterms:created xsi:type="dcterms:W3CDTF">2018-08-03T15:21:00Z</dcterms:created>
  <dcterms:modified xsi:type="dcterms:W3CDTF">2019-10-30T17:00:00Z</dcterms:modified>
</cp:coreProperties>
</file>